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ignature"/>
        <w:spacing w:before="120" w:after="120"/>
        <w:rPr>
          <w:sz w:val="20"/>
          <w:szCs w:val="20"/>
          <w:lang w:val="en-US"/>
        </w:rPr>
      </w:pPr>
    </w:p>
    <w:p>
      <w:pPr>
        <w:pStyle w:val="Normal.0"/>
        <w:rPr>
          <w:sz w:val="20"/>
          <w:szCs w:val="20"/>
          <w:lang w:val="en-US"/>
        </w:rPr>
      </w:pPr>
    </w:p>
    <w:p>
      <w:pPr>
        <w:pStyle w:val="Normal.0"/>
        <w:rPr>
          <w:sz w:val="20"/>
          <w:szCs w:val="20"/>
          <w:lang w:val="en-US"/>
        </w:rPr>
      </w:pPr>
      <w:r>
        <w:rPr>
          <w:rFonts w:cs="Arial Unicode MS" w:eastAsia="Arial Unicode MS"/>
          <w:sz w:val="20"/>
          <w:szCs w:val="20"/>
          <w:rtl w:val="0"/>
          <w:lang w:val="en-US"/>
        </w:rPr>
        <w:t>B</w:t>
      </w:r>
      <w:r>
        <w:rPr>
          <w:rFonts w:cs="Arial Unicode MS" w:eastAsia="Arial Unicode MS" w:hint="default"/>
          <w:sz w:val="20"/>
          <w:szCs w:val="20"/>
          <w:rtl w:val="0"/>
          <w:lang w:val="en-US"/>
        </w:rPr>
        <w:t>Ü</w:t>
      </w:r>
      <w:r>
        <w:rPr>
          <w:rFonts w:cs="Arial Unicode MS" w:eastAsia="Arial Unicode MS"/>
          <w:sz w:val="20"/>
          <w:szCs w:val="20"/>
          <w:rtl w:val="0"/>
          <w:lang w:val="en-US"/>
        </w:rPr>
        <w:t>NDNIS 90/DIE GR</w:t>
      </w:r>
      <w:r>
        <w:rPr>
          <w:rFonts w:cs="Arial Unicode MS" w:eastAsia="Arial Unicode MS" w:hint="default"/>
          <w:sz w:val="20"/>
          <w:szCs w:val="20"/>
          <w:rtl w:val="0"/>
          <w:lang w:val="en-US"/>
        </w:rPr>
        <w:t>Ü</w:t>
      </w:r>
      <w:r>
        <w:rPr>
          <w:rFonts w:cs="Arial Unicode MS" w:eastAsia="Arial Unicode MS"/>
          <w:sz w:val="20"/>
          <w:szCs w:val="20"/>
          <w:rtl w:val="0"/>
          <w:lang w:val="en-US"/>
        </w:rPr>
        <w:t>NEN, Stadtverband Hannover</w:t>
      </w:r>
      <w:r>
        <w:rPr>
          <w:rFonts w:cs="Arial Unicode MS" w:eastAsia="Arial Unicode MS"/>
          <w:sz w:val="20"/>
          <w:szCs w:val="20"/>
          <w:rtl w:val="0"/>
          <w:lang w:val="en-US"/>
        </w:rPr>
        <w:t xml:space="preserve"> - Pressemitteilung</w:t>
      </w:r>
      <w:r>
        <w:rPr>
          <w:sz w:val="20"/>
          <w:szCs w:val="20"/>
          <w:lang w:val="en-US"/>
        </w:rPr>
        <w:br w:type="textWrapping"/>
      </w:r>
      <w:r>
        <w:rPr>
          <w:rFonts w:ascii="Arvo" w:hAnsi="Arvo"/>
          <w:sz w:val="32"/>
          <w:szCs w:val="32"/>
          <w:rtl w:val="0"/>
          <w:lang w:val="en-US"/>
        </w:rPr>
        <w:t>GR</w:t>
      </w:r>
      <w:r>
        <w:rPr>
          <w:rFonts w:ascii="Arvo" w:hAnsi="Arvo" w:hint="default"/>
          <w:sz w:val="32"/>
          <w:szCs w:val="32"/>
          <w:rtl w:val="0"/>
          <w:lang w:val="en-US"/>
        </w:rPr>
        <w:t>Ü</w:t>
      </w:r>
      <w:r>
        <w:rPr>
          <w:rFonts w:ascii="Arvo" w:hAnsi="Arvo"/>
          <w:sz w:val="32"/>
          <w:szCs w:val="32"/>
          <w:rtl w:val="0"/>
          <w:lang w:val="en-US"/>
        </w:rPr>
        <w:t>NE unterst</w:t>
      </w:r>
      <w:r>
        <w:rPr>
          <w:rFonts w:ascii="Arvo" w:hAnsi="Arvo" w:hint="default"/>
          <w:sz w:val="32"/>
          <w:szCs w:val="32"/>
          <w:rtl w:val="0"/>
          <w:lang w:val="en-US"/>
        </w:rPr>
        <w:t>ü</w:t>
      </w:r>
      <w:r>
        <w:rPr>
          <w:rFonts w:ascii="Arvo" w:hAnsi="Arvo"/>
          <w:sz w:val="32"/>
          <w:szCs w:val="32"/>
          <w:rtl w:val="0"/>
          <w:lang w:val="en-US"/>
        </w:rPr>
        <w:t>tzen B</w:t>
      </w:r>
      <w:r>
        <w:rPr>
          <w:rFonts w:ascii="Arvo" w:hAnsi="Arvo" w:hint="default"/>
          <w:sz w:val="32"/>
          <w:szCs w:val="32"/>
          <w:rtl w:val="0"/>
          <w:lang w:val="en-US"/>
        </w:rPr>
        <w:t>ü</w:t>
      </w:r>
      <w:r>
        <w:rPr>
          <w:rFonts w:ascii="Arvo" w:hAnsi="Arvo"/>
          <w:sz w:val="32"/>
          <w:szCs w:val="32"/>
          <w:rtl w:val="0"/>
          <w:lang w:val="en-US"/>
        </w:rPr>
        <w:t>rgerbegehren</w:t>
      </w:r>
    </w:p>
    <w:p>
      <w:pPr>
        <w:pStyle w:val="Normal.0"/>
        <w:rPr>
          <w:sz w:val="20"/>
          <w:szCs w:val="20"/>
          <w:lang w:val="en-US"/>
        </w:rPr>
      </w:pPr>
    </w:p>
    <w:p>
      <w:pPr>
        <w:pStyle w:val="Normal.0"/>
        <w:spacing w:before="120" w:after="120"/>
        <w:rPr>
          <w:lang w:val="en-US"/>
        </w:rPr>
      </w:pPr>
      <w:r>
        <w:rPr>
          <w:rtl w:val="0"/>
          <w:lang w:val="en-US"/>
        </w:rPr>
        <w:t>Der Stadtverband Hannover von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NDNIS 90/DIE GR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NEN begr</w:t>
      </w:r>
      <w:r>
        <w:rPr>
          <w:rtl w:val="0"/>
          <w:lang w:val="en-US"/>
        </w:rPr>
        <w:t>üß</w:t>
      </w:r>
      <w:r>
        <w:rPr>
          <w:rtl w:val="0"/>
          <w:lang w:val="en-US"/>
        </w:rPr>
        <w:t>t die Einrichtung des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rgerbegehrens durch die Initiative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Hannover erneuerbar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. Hierzu erkl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rt die Vorsitzende Greta Garlichs:</w:t>
      </w:r>
    </w:p>
    <w:p>
      <w:pPr>
        <w:pStyle w:val="Normal.0"/>
        <w:spacing w:before="120" w:after="120"/>
        <w:rPr>
          <w:lang w:val="en-US"/>
        </w:rPr>
      </w:pPr>
      <w:r>
        <w:rPr>
          <w:rtl w:val="0"/>
          <w:lang w:val="en-US"/>
        </w:rPr>
        <w:t>„</w:t>
      </w:r>
      <w:r>
        <w:rPr>
          <w:rtl w:val="0"/>
          <w:lang w:val="en-US"/>
        </w:rPr>
        <w:t>Die GR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NEN werden dieses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rgerbegehren 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konsequenten Klimaschutz aktiv unterst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tzen. Um das Pariser Klimaabkommen umzusetzen, ist mehr Mut erforderlich als Bund und Land ihn in ihrem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Kohlekompromiss</w:t>
      </w:r>
      <w:r>
        <w:rPr>
          <w:rtl w:val="0"/>
          <w:lang w:val="en-US"/>
        </w:rPr>
        <w:t xml:space="preserve">“ </w:t>
      </w:r>
      <w:r>
        <w:rPr>
          <w:rtl w:val="0"/>
          <w:lang w:val="en-US"/>
        </w:rPr>
        <w:t>zeigen. Jeder Monat, den wir mit den notwendigen Ma</w:t>
      </w:r>
      <w:r>
        <w:rPr>
          <w:rtl w:val="0"/>
          <w:lang w:val="en-US"/>
        </w:rPr>
        <w:t>ß</w:t>
      </w:r>
      <w:r>
        <w:rPr>
          <w:rtl w:val="0"/>
          <w:lang w:val="en-US"/>
        </w:rPr>
        <w:t>nahmen warten, kommt uns in der Zukunft deutlich teurer zu stehen als rechtzeitiges Handeln.</w:t>
      </w:r>
      <w:r>
        <w:rPr>
          <w:rtl w:val="0"/>
          <w:lang w:val="en-US"/>
        </w:rPr>
        <w:t>“</w:t>
      </w:r>
    </w:p>
    <w:p>
      <w:pPr>
        <w:pStyle w:val="Normal.0"/>
        <w:spacing w:before="120" w:after="120"/>
        <w:rPr>
          <w:lang w:val="en-US"/>
        </w:rPr>
      </w:pPr>
      <w:r>
        <w:rPr>
          <w:rtl w:val="0"/>
          <w:lang w:val="en-US"/>
        </w:rPr>
        <w:t>Garlichs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ndigte an, dass die Partei sich im Stadtrat 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einen Beschluss stark machen werde, der dem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rgerbegehren entspricht.</w:t>
      </w:r>
      <w:r>
        <w:rPr>
          <w:rtl w:val="0"/>
          <w:lang w:val="en-US"/>
        </w:rPr>
        <w:t xml:space="preserve"> Sollte hier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ber unter den Mehrheitsfraktionen keine Einigkeit zu erzielen sein, </w:t>
      </w:r>
      <w:r>
        <w:rPr>
          <w:rtl w:val="0"/>
          <w:lang w:val="en-US"/>
        </w:rPr>
        <w:t>werde die Partei dar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ber hinaus </w:t>
      </w:r>
      <w:r>
        <w:rPr>
          <w:rtl w:val="0"/>
          <w:lang w:val="en-US"/>
        </w:rPr>
        <w:t xml:space="preserve">engagiert 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 eine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 Erfolg </w:t>
      </w:r>
      <w:r>
        <w:rPr>
          <w:rtl w:val="0"/>
          <w:lang w:val="en-US"/>
        </w:rPr>
        <w:t>des Begehrens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arbeiten</w:t>
      </w:r>
      <w:r>
        <w:rPr>
          <w:rtl w:val="0"/>
          <w:lang w:val="en-US"/>
        </w:rPr>
        <w:t>.</w:t>
      </w:r>
    </w:p>
    <w:p>
      <w:pPr>
        <w:pStyle w:val="Normal.0"/>
        <w:spacing w:before="120" w:after="120"/>
        <w:rPr>
          <w:lang w:val="en-US"/>
        </w:rPr>
      </w:pPr>
      <w:r>
        <w:rPr>
          <w:rtl w:val="0"/>
          <w:lang w:val="en-US"/>
        </w:rPr>
        <w:t xml:space="preserve">Hintergrund: Der Verwaltungsausschuss des Stadtrats </w:t>
      </w:r>
      <w:r>
        <w:rPr>
          <w:rtl w:val="0"/>
          <w:lang w:val="en-US"/>
        </w:rPr>
        <w:t>beschlie</w:t>
      </w:r>
      <w:r>
        <w:rPr>
          <w:rtl w:val="0"/>
          <w:lang w:val="en-US"/>
        </w:rPr>
        <w:t>ß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 am 21.01.2021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ber die Rechtm</w:t>
      </w:r>
      <w:r>
        <w:rPr>
          <w:rtl w:val="0"/>
          <w:lang w:val="en-US"/>
        </w:rPr>
        <w:t>äß</w:t>
      </w:r>
      <w:r>
        <w:rPr>
          <w:rtl w:val="0"/>
          <w:lang w:val="en-US"/>
        </w:rPr>
        <w:t>igkeit des</w:t>
      </w:r>
      <w:r>
        <w:rPr>
          <w:rtl w:val="0"/>
          <w:lang w:val="en-US"/>
        </w:rPr>
        <w:t xml:space="preserve">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rgerbegehren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 „</w:t>
      </w:r>
      <w:r>
        <w:rPr>
          <w:rtl w:val="0"/>
          <w:lang w:val="en-US"/>
        </w:rPr>
        <w:t>Hannover erneuerbar: Keine Kohle, kein Erdgas in unseren Kraftwerken!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 Die Zustimmung gilt als Formsache. In dem Entwurf</w:t>
      </w:r>
      <w:r>
        <w:rPr>
          <w:rtl w:val="0"/>
          <w:lang w:val="en-US"/>
        </w:rPr>
        <w:t xml:space="preserve"> beantragen die </w:t>
      </w:r>
      <w:r>
        <w:rPr>
          <w:rtl w:val="0"/>
          <w:lang w:val="en-US"/>
        </w:rPr>
        <w:t>Initiator</w:t>
      </w:r>
      <w:r>
        <w:rPr>
          <w:rtl w:val="0"/>
          <w:lang w:val="en-US"/>
        </w:rPr>
        <w:t>*innen, dass die Landeshauptstadt als Mehrheitseignerin der enercity AG in der Satzung den Verzicht auf Kohleverstromung ab 2026 und auf Erdgas ab 2030 festlegt. Die hannoversche SPD hat dem gegen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ber einen Antrag vorgelegt, der Gespr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che zwischen Stadt und Energieversorger mit dem Ziel eines Ausstiegs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glichst 2026</w:t>
      </w:r>
      <w:r>
        <w:rPr>
          <w:rtl w:val="0"/>
          <w:lang w:val="en-US"/>
        </w:rPr>
        <w:t xml:space="preserve">“ </w:t>
      </w:r>
      <w:r>
        <w:rPr>
          <w:rtl w:val="0"/>
          <w:lang w:val="en-US"/>
        </w:rPr>
        <w:t>vorschl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gt, ohne diesen rechtsverbindlich festzuschreiben.</w:t>
      </w:r>
    </w:p>
    <w:p>
      <w:pPr>
        <w:pStyle w:val="Normal.0"/>
        <w:spacing w:before="120" w:after="120"/>
        <w:rPr>
          <w:b w:val="1"/>
          <w:bCs w:val="1"/>
          <w:lang w:val="en-US"/>
        </w:rPr>
      </w:pPr>
    </w:p>
    <w:p>
      <w:pPr>
        <w:pStyle w:val="Normal.0"/>
        <w:spacing w:before="120" w:after="120"/>
      </w:pPr>
      <w:r>
        <w:rPr>
          <w:b w:val="1"/>
          <w:bCs w:val="1"/>
          <w:rtl w:val="0"/>
          <w:lang w:val="en-US"/>
        </w:rPr>
        <w:t xml:space="preserve">Kontakt: </w:t>
      </w:r>
      <w:r>
        <w:rPr>
          <w:b w:val="0"/>
          <w:bCs w:val="0"/>
          <w:rtl w:val="0"/>
          <w:lang w:val="en-US"/>
        </w:rPr>
        <w:t>Greta Garlichs, Vorsitzende des Stadtverbands, 0151 56117123</w:t>
      </w:r>
      <w:r>
        <w:rPr>
          <w:b w:val="0"/>
          <w:bCs w:val="0"/>
          <w:sz w:val="20"/>
          <w:szCs w:val="20"/>
          <w:lang w:val="en-US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936" w:right="1134" w:bottom="851" w:left="1304" w:header="510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T Sans">
    <w:charset w:val="00"/>
    <w:family w:val="roman"/>
    <w:pitch w:val="default"/>
  </w:font>
  <w:font w:name="Helvetica Neue">
    <w:charset w:val="00"/>
    <w:family w:val="roman"/>
    <w:pitch w:val="default"/>
  </w:font>
  <w:font w:name="Arv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b w:val="1"/>
        <w:bCs w:val="1"/>
        <w:rtl w:val="0"/>
        <w:lang w:val="de-DE"/>
      </w:rPr>
      <w:t>Bankverbindung:</w:t>
    </w:r>
    <w:r>
      <w:rPr>
        <w:rtl w:val="0"/>
        <w:lang w:val="de-DE"/>
      </w:rPr>
      <w:t xml:space="preserve"> </w:t>
    </w:r>
    <w:r>
      <w:rPr>
        <w:rtl w:val="0"/>
        <w:lang w:val="de-DE"/>
      </w:rPr>
      <w:t>Bank f</w:t>
    </w:r>
    <w:r>
      <w:rPr>
        <w:rtl w:val="0"/>
        <w:lang w:val="de-DE"/>
      </w:rPr>
      <w:t>ü</w:t>
    </w:r>
    <w:r>
      <w:rPr>
        <w:rtl w:val="0"/>
        <w:lang w:val="de-DE"/>
      </w:rPr>
      <w:t xml:space="preserve">r Sozialwirtschaft, IBAN: DE85251205100008451100 </w:t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"http://www.stadtverband-gruene-hannover.de"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www.stadtverband-gruene-hannover.de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2850" cy="10695306"/>
          <wp:effectExtent l="0" t="0" r="0" b="0"/>
          <wp:wrapNone/>
          <wp:docPr id="1073741825" name="officeArt object" descr="higr_hoch_DinA4_200dpi_RGB_q80%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igr_hoch_DinA4_200dpi_RGB_q80%.jpg" descr="higr_hoch_DinA4_200dpi_RGB_q80%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5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073741827" name="officeArt object" descr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0.0pt;margin-top:297.7pt;width:8.5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FFFF" opacity="100.0%" weight="3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1580" cy="10694035"/>
          <wp:effectExtent l="0" t="0" r="0" b="0"/>
          <wp:wrapNone/>
          <wp:docPr id="1073741828" name="officeArt object" descr="higr_hoch_DinA4_200dpi_RGB_q80%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higr_hoch_DinA4_200dpi_RGB_q80%.jpg" descr="higr_hoch_DinA4_200dpi_RGB_q80%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9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073741829" name="officeArt object" descr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0.0pt;margin-top:297.7pt;width:8.5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FFFF" opacity="100.0%" weight="3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 xmlns:a="http://schemas.openxmlformats.org/drawingml/2006/main">
        <wp:inline distT="0" distB="0" distL="0" distR="0">
          <wp:extent cx="1800000" cy="1083600"/>
          <wp:effectExtent l="0" t="0" r="0" b="0"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20" w:lineRule="atLeast"/>
      <w:ind w:left="0" w:right="0" w:firstLine="0"/>
      <w:jc w:val="left"/>
      <w:outlineLvl w:val="9"/>
    </w:pPr>
    <w:rPr>
      <w:rFonts w:ascii="PT Sans" w:cs="Arial Unicode MS" w:hAnsi="PT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character" w:styleId="Hyperlink.0">
    <w:name w:val="Hyperlink.0"/>
    <w:basedOn w:val="Link"/>
    <w:next w:val="Hyperlink.0"/>
    <w:rPr>
      <w:rFonts w:ascii="PT Sans" w:cs="PT Sans" w:hAnsi="PT Sans" w:eastAsia="PT Sans"/>
      <w:b w:val="1"/>
      <w:bCs w:val="1"/>
    </w:rPr>
  </w:style>
  <w:style w:type="paragraph" w:styleId="Signature">
    <w:name w:val="Signatur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20" w:line="320" w:lineRule="atLeast"/>
      <w:ind w:left="0" w:right="0" w:firstLine="0"/>
      <w:jc w:val="left"/>
      <w:outlineLvl w:val="9"/>
    </w:pPr>
    <w:rPr>
      <w:rFonts w:ascii="PT Sans" w:cs="PT Sans" w:hAnsi="PT Sans" w:eastAsia="PT 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20" w:lineRule="atLeast"/>
      <w:ind w:left="0" w:right="0" w:firstLine="0"/>
      <w:jc w:val="left"/>
      <w:outlineLvl w:val="9"/>
    </w:pPr>
    <w:rPr>
      <w:rFonts w:ascii="PT Sans" w:cs="PT Sans" w:hAnsi="PT Sans" w:eastAsia="PT 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FEE00"/>
      </a:accent1>
      <a:accent2>
        <a:srgbClr val="4CB4E7"/>
      </a:accent2>
      <a:accent3>
        <a:srgbClr val="E6007E"/>
      </a:accent3>
      <a:accent4>
        <a:srgbClr val="D4EDFC"/>
      </a:accent4>
      <a:accent5>
        <a:srgbClr val="46962B"/>
      </a:accent5>
      <a:accent6>
        <a:srgbClr val="FFD500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T Sans"/>
            <a:ea typeface="PT Sans"/>
            <a:cs typeface="PT Sans"/>
            <a:sym typeface="PT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PT Sans"/>
            <a:ea typeface="PT Sans"/>
            <a:cs typeface="PT Sans"/>
            <a:sym typeface="PT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